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559"/>
        <w:gridCol w:w="149"/>
        <w:gridCol w:w="3797"/>
        <w:gridCol w:w="31"/>
      </w:tblGrid>
      <w:tr w:rsidR="00F55C8E" w:rsidTr="00B63B1A">
        <w:trPr>
          <w:gridAfter w:val="1"/>
          <w:wAfter w:w="31" w:type="dxa"/>
        </w:trPr>
        <w:tc>
          <w:tcPr>
            <w:tcW w:w="4387" w:type="dxa"/>
            <w:gridSpan w:val="4"/>
          </w:tcPr>
          <w:p w:rsidR="00F55C8E" w:rsidRDefault="00F55C8E" w:rsidP="00B63B1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55C8E" w:rsidRDefault="00F55C8E" w:rsidP="00B63B1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55C8E" w:rsidRDefault="00F55C8E" w:rsidP="00B63B1A">
            <w:pPr>
              <w:ind w:left="34"/>
              <w:jc w:val="center"/>
            </w:pPr>
          </w:p>
          <w:p w:rsidR="00F55C8E" w:rsidRDefault="00F55C8E" w:rsidP="00B63B1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55C8E" w:rsidRDefault="00F55C8E" w:rsidP="00B63B1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F55C8E" w:rsidRDefault="00F55C8E" w:rsidP="00B63B1A">
            <w:pPr>
              <w:ind w:left="34"/>
              <w:jc w:val="center"/>
            </w:pPr>
          </w:p>
          <w:p w:rsidR="00F55C8E" w:rsidRDefault="00F55C8E" w:rsidP="00B63B1A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0F35FB9D" wp14:editId="250269AA">
                  <wp:extent cx="617855" cy="852805"/>
                  <wp:effectExtent l="0" t="0" r="0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C8E" w:rsidRDefault="00F55C8E" w:rsidP="00B63B1A">
            <w:pPr>
              <w:ind w:left="34"/>
              <w:jc w:val="center"/>
              <w:rPr>
                <w:sz w:val="18"/>
              </w:rPr>
            </w:pPr>
          </w:p>
          <w:p w:rsidR="00F55C8E" w:rsidRDefault="00F55C8E" w:rsidP="00B63B1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55C8E" w:rsidRDefault="00F55C8E" w:rsidP="00B63B1A">
            <w:pPr>
              <w:rPr>
                <w:sz w:val="18"/>
              </w:rPr>
            </w:pPr>
          </w:p>
          <w:p w:rsidR="00F55C8E" w:rsidRDefault="00F55C8E" w:rsidP="00B63B1A"/>
        </w:tc>
        <w:tc>
          <w:tcPr>
            <w:tcW w:w="4513" w:type="dxa"/>
            <w:gridSpan w:val="4"/>
          </w:tcPr>
          <w:p w:rsidR="00F55C8E" w:rsidRDefault="00F55C8E" w:rsidP="00B63B1A">
            <w:pPr>
              <w:jc w:val="both"/>
            </w:pPr>
          </w:p>
        </w:tc>
      </w:tr>
      <w:tr w:rsidR="00F55C8E" w:rsidRPr="007643B4" w:rsidTr="00B63B1A"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F55C8E" w:rsidRPr="007643B4" w:rsidRDefault="00F55C8E" w:rsidP="00B63B1A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F55C8E" w:rsidRPr="007B0EFA" w:rsidRDefault="00F55C8E" w:rsidP="00B63B1A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F55C8E" w:rsidRPr="007643B4" w:rsidRDefault="00F55C8E" w:rsidP="00B63B1A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F55C8E" w:rsidRPr="00044168" w:rsidRDefault="00F55C8E" w:rsidP="00B63B1A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59" w:type="dxa"/>
            <w:vMerge w:val="restart"/>
          </w:tcPr>
          <w:p w:rsidR="00F55C8E" w:rsidRPr="007643B4" w:rsidRDefault="00F55C8E" w:rsidP="00B63B1A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3"/>
            <w:vMerge w:val="restart"/>
            <w:tcBorders>
              <w:left w:val="nil"/>
            </w:tcBorders>
          </w:tcPr>
          <w:p w:rsidR="00F55C8E" w:rsidRPr="007643B4" w:rsidRDefault="00F55C8E" w:rsidP="00B63B1A">
            <w:pPr>
              <w:suppressAutoHyphens/>
              <w:jc w:val="both"/>
              <w:rPr>
                <w:szCs w:val="28"/>
              </w:rPr>
            </w:pPr>
          </w:p>
        </w:tc>
      </w:tr>
      <w:tr w:rsidR="00F55C8E" w:rsidRPr="00E017A8" w:rsidTr="00B63B1A"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F55C8E" w:rsidRPr="006524D1" w:rsidRDefault="00F55C8E" w:rsidP="00B63B1A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vMerge/>
          </w:tcPr>
          <w:p w:rsidR="00F55C8E" w:rsidRPr="00E017A8" w:rsidRDefault="00F55C8E" w:rsidP="00B63B1A">
            <w:pPr>
              <w:suppressAutoHyphens/>
              <w:jc w:val="both"/>
            </w:pPr>
          </w:p>
        </w:tc>
        <w:tc>
          <w:tcPr>
            <w:tcW w:w="3977" w:type="dxa"/>
            <w:gridSpan w:val="3"/>
            <w:vMerge/>
            <w:tcBorders>
              <w:left w:val="nil"/>
            </w:tcBorders>
          </w:tcPr>
          <w:p w:rsidR="00F55C8E" w:rsidRPr="00E017A8" w:rsidRDefault="00F55C8E" w:rsidP="00B63B1A">
            <w:pPr>
              <w:suppressAutoHyphens/>
              <w:jc w:val="both"/>
            </w:pPr>
          </w:p>
        </w:tc>
      </w:tr>
      <w:tr w:rsidR="00F55C8E" w:rsidRPr="001B14A5" w:rsidTr="00B63B1A">
        <w:tblPrEx>
          <w:tblLook w:val="04A0" w:firstRow="1" w:lastRow="0" w:firstColumn="1" w:lastColumn="0" w:noHBand="0" w:noVBand="1"/>
        </w:tblPrEx>
        <w:trPr>
          <w:gridAfter w:val="2"/>
          <w:wAfter w:w="3828" w:type="dxa"/>
          <w:trHeight w:val="375"/>
        </w:trPr>
        <w:tc>
          <w:tcPr>
            <w:tcW w:w="5103" w:type="dxa"/>
            <w:gridSpan w:val="7"/>
            <w:hideMark/>
          </w:tcPr>
          <w:p w:rsidR="00F55C8E" w:rsidRPr="001B14A5" w:rsidRDefault="00F55C8E" w:rsidP="00B63B1A">
            <w:pPr>
              <w:ind w:left="34"/>
              <w:jc w:val="center"/>
              <w:rPr>
                <w:szCs w:val="28"/>
                <w:u w:val="single"/>
              </w:rPr>
            </w:pPr>
            <w:r w:rsidRPr="00C9151E">
              <w:rPr>
                <w:szCs w:val="28"/>
              </w:rPr>
              <w:t>О внесении изменений в муниципальн</w:t>
            </w:r>
            <w:r>
              <w:rPr>
                <w:szCs w:val="28"/>
              </w:rPr>
              <w:t>ую</w:t>
            </w:r>
            <w:r w:rsidRPr="00C9151E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у</w:t>
            </w:r>
            <w:r w:rsidRPr="00C9151E">
              <w:rPr>
                <w:szCs w:val="28"/>
              </w:rPr>
              <w:t xml:space="preserve"> городского округа Кинель Самарской области </w:t>
            </w:r>
            <w:r>
              <w:rPr>
                <w:szCs w:val="28"/>
              </w:rPr>
              <w:t>«П</w:t>
            </w:r>
            <w:r w:rsidRPr="001F6132">
              <w:rPr>
                <w:szCs w:val="28"/>
              </w:rPr>
              <w:t>рофилактик</w:t>
            </w:r>
            <w:r>
              <w:rPr>
                <w:szCs w:val="28"/>
              </w:rPr>
              <w:t>а</w:t>
            </w:r>
            <w:r w:rsidRPr="001F6132">
              <w:rPr>
                <w:szCs w:val="28"/>
              </w:rPr>
              <w:t xml:space="preserve"> правонарушений на территории городского округа Кинель </w:t>
            </w:r>
            <w:r>
              <w:rPr>
                <w:szCs w:val="28"/>
              </w:rPr>
              <w:t xml:space="preserve">Самарской области </w:t>
            </w:r>
            <w:r w:rsidRPr="001F6132">
              <w:rPr>
                <w:szCs w:val="28"/>
              </w:rPr>
              <w:t>на 201</w:t>
            </w:r>
            <w:r>
              <w:rPr>
                <w:szCs w:val="28"/>
              </w:rPr>
              <w:t>9</w:t>
            </w:r>
            <w:r w:rsidRPr="001F6132">
              <w:rPr>
                <w:szCs w:val="28"/>
              </w:rPr>
              <w:t>-20</w:t>
            </w:r>
            <w:r>
              <w:rPr>
                <w:szCs w:val="28"/>
              </w:rPr>
              <w:t>25</w:t>
            </w:r>
            <w:r w:rsidRPr="001F6132">
              <w:rPr>
                <w:szCs w:val="28"/>
              </w:rPr>
              <w:t xml:space="preserve"> годы</w:t>
            </w:r>
            <w:r>
              <w:rPr>
                <w:szCs w:val="28"/>
              </w:rPr>
              <w:t>», утвержденную</w:t>
            </w:r>
            <w:r w:rsidRPr="00C9151E">
              <w:rPr>
                <w:szCs w:val="28"/>
              </w:rPr>
              <w:t xml:space="preserve"> постановление</w:t>
            </w:r>
            <w:r>
              <w:rPr>
                <w:szCs w:val="28"/>
              </w:rPr>
              <w:t>м</w:t>
            </w:r>
            <w:r w:rsidRPr="00C9151E">
              <w:rPr>
                <w:szCs w:val="28"/>
              </w:rPr>
              <w:t xml:space="preserve"> администрации городского округа Кинель Самарской области </w:t>
            </w:r>
            <w:r>
              <w:t>от</w:t>
            </w:r>
            <w:r w:rsidRPr="001B47F8">
              <w:t> </w:t>
            </w:r>
            <w:r w:rsidRPr="00261468">
              <w:t>19</w:t>
            </w:r>
            <w:r>
              <w:t> декабря 2018 года № </w:t>
            </w:r>
            <w:r w:rsidRPr="00261468">
              <w:t>3467</w:t>
            </w:r>
            <w:r>
              <w:t xml:space="preserve"> </w:t>
            </w:r>
            <w:r w:rsidRPr="00C9151E">
              <w:rPr>
                <w:szCs w:val="28"/>
              </w:rPr>
              <w:t>(</w:t>
            </w:r>
            <w:r>
              <w:rPr>
                <w:szCs w:val="28"/>
              </w:rPr>
              <w:t>в редакции от </w:t>
            </w:r>
            <w:r>
              <w:t>11</w:t>
            </w:r>
            <w:r w:rsidRPr="00E26494">
              <w:t> </w:t>
            </w:r>
            <w:r>
              <w:t>февраля</w:t>
            </w:r>
            <w:r w:rsidRPr="00E26494">
              <w:t> 20</w:t>
            </w:r>
            <w:r>
              <w:t>25 года</w:t>
            </w:r>
            <w:r w:rsidRPr="00CE1F68">
              <w:rPr>
                <w:szCs w:val="28"/>
              </w:rPr>
              <w:t>)</w:t>
            </w:r>
          </w:p>
        </w:tc>
      </w:tr>
    </w:tbl>
    <w:p w:rsidR="00F55C8E" w:rsidRDefault="00F55C8E" w:rsidP="00F55C8E"/>
    <w:p w:rsidR="00F55C8E" w:rsidRPr="00B20490" w:rsidRDefault="00F55C8E" w:rsidP="00F55C8E">
      <w:pPr>
        <w:pStyle w:val="3"/>
        <w:shd w:val="clear" w:color="auto" w:fill="auto"/>
        <w:spacing w:before="0" w:after="0" w:line="336" w:lineRule="auto"/>
        <w:ind w:right="23" w:firstLine="680"/>
        <w:rPr>
          <w:spacing w:val="0"/>
          <w:sz w:val="28"/>
          <w:szCs w:val="28"/>
        </w:rPr>
      </w:pPr>
      <w:proofErr w:type="gramStart"/>
      <w:r w:rsidRPr="00B20490">
        <w:rPr>
          <w:sz w:val="28"/>
          <w:szCs w:val="28"/>
        </w:rPr>
        <w:t>В целях приведения в соответствие с решением Думы городского округа Кинель Самарской области от</w:t>
      </w:r>
      <w:r>
        <w:rPr>
          <w:sz w:val="28"/>
          <w:szCs w:val="28"/>
        </w:rPr>
        <w:t> </w:t>
      </w:r>
      <w:r w:rsidRPr="00B20490">
        <w:rPr>
          <w:sz w:val="28"/>
          <w:szCs w:val="28"/>
        </w:rPr>
        <w:t>25.12.2025 №</w:t>
      </w:r>
      <w:r>
        <w:rPr>
          <w:sz w:val="28"/>
          <w:szCs w:val="28"/>
        </w:rPr>
        <w:t> </w:t>
      </w:r>
      <w:r w:rsidRPr="00B20490">
        <w:rPr>
          <w:sz w:val="28"/>
          <w:szCs w:val="28"/>
        </w:rPr>
        <w:t>39 «</w:t>
      </w:r>
      <w:r w:rsidRPr="00B20490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внесении изменений в решение Думы городского округа Кинель Самарской области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20.12.2024 г. №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398 «О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бюджете городского округа Кинель Самарской области на 2025 год и на плановый период 2026 и 2027 годов» (в редакции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03</w:t>
      </w:r>
      <w:r>
        <w:rPr>
          <w:sz w:val="28"/>
          <w:szCs w:val="28"/>
          <w:shd w:val="clear" w:color="auto" w:fill="FFFFFF"/>
        </w:rPr>
        <w:t> февраля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>года</w:t>
      </w:r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27</w:t>
      </w:r>
      <w:r>
        <w:rPr>
          <w:sz w:val="28"/>
          <w:szCs w:val="28"/>
          <w:shd w:val="clear" w:color="auto" w:fill="FFFFFF"/>
        </w:rPr>
        <w:t> марта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 xml:space="preserve"> </w:t>
      </w:r>
      <w:r w:rsidRPr="00B2049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proofErr w:type="gramEnd"/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24</w:t>
      </w:r>
      <w:r>
        <w:rPr>
          <w:sz w:val="28"/>
          <w:szCs w:val="28"/>
          <w:shd w:val="clear" w:color="auto" w:fill="FFFFFF"/>
        </w:rPr>
        <w:t> апреля </w:t>
      </w:r>
      <w:r w:rsidRPr="00B20490">
        <w:rPr>
          <w:sz w:val="28"/>
          <w:szCs w:val="28"/>
          <w:shd w:val="clear" w:color="auto" w:fill="FFFFFF"/>
        </w:rPr>
        <w:t>2025г</w:t>
      </w:r>
      <w:r>
        <w:rPr>
          <w:sz w:val="28"/>
          <w:szCs w:val="28"/>
          <w:shd w:val="clear" w:color="auto" w:fill="FFFFFF"/>
        </w:rPr>
        <w:t>ода</w:t>
      </w:r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29 мая 2025 года, от </w:t>
      </w:r>
      <w:r w:rsidRPr="00B20490">
        <w:rPr>
          <w:sz w:val="28"/>
          <w:szCs w:val="28"/>
          <w:shd w:val="clear" w:color="auto" w:fill="FFFFFF"/>
        </w:rPr>
        <w:t>24</w:t>
      </w:r>
      <w:r>
        <w:rPr>
          <w:sz w:val="28"/>
          <w:szCs w:val="28"/>
          <w:shd w:val="clear" w:color="auto" w:fill="FFFFFF"/>
        </w:rPr>
        <w:t> июля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 xml:space="preserve"> </w:t>
      </w:r>
      <w:r w:rsidRPr="00B2049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> августа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 xml:space="preserve"> </w:t>
      </w:r>
      <w:r w:rsidRPr="00B2049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23</w:t>
      </w:r>
      <w:r>
        <w:rPr>
          <w:sz w:val="28"/>
          <w:szCs w:val="28"/>
          <w:shd w:val="clear" w:color="auto" w:fill="FFFFFF"/>
        </w:rPr>
        <w:t> октября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 xml:space="preserve"> </w:t>
      </w:r>
      <w:r w:rsidRPr="00B2049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B20490">
        <w:rPr>
          <w:sz w:val="28"/>
          <w:szCs w:val="28"/>
          <w:shd w:val="clear" w:color="auto" w:fill="FFFFFF"/>
        </w:rPr>
        <w:t>, от</w:t>
      </w:r>
      <w:r>
        <w:rPr>
          <w:sz w:val="28"/>
          <w:szCs w:val="28"/>
          <w:shd w:val="clear" w:color="auto" w:fill="FFFFFF"/>
        </w:rPr>
        <w:t> </w:t>
      </w:r>
      <w:r w:rsidRPr="00B20490">
        <w:rPr>
          <w:sz w:val="28"/>
          <w:szCs w:val="28"/>
          <w:shd w:val="clear" w:color="auto" w:fill="FFFFFF"/>
        </w:rPr>
        <w:t>27</w:t>
      </w:r>
      <w:r>
        <w:rPr>
          <w:sz w:val="28"/>
          <w:szCs w:val="28"/>
          <w:shd w:val="clear" w:color="auto" w:fill="FFFFFF"/>
        </w:rPr>
        <w:t> ноября </w:t>
      </w:r>
      <w:r w:rsidRPr="00B20490">
        <w:rPr>
          <w:sz w:val="28"/>
          <w:szCs w:val="28"/>
          <w:shd w:val="clear" w:color="auto" w:fill="FFFFFF"/>
        </w:rPr>
        <w:t>2025</w:t>
      </w:r>
      <w:r>
        <w:rPr>
          <w:sz w:val="28"/>
          <w:szCs w:val="28"/>
          <w:shd w:val="clear" w:color="auto" w:fill="FFFFFF"/>
        </w:rPr>
        <w:t xml:space="preserve"> </w:t>
      </w:r>
      <w:r w:rsidRPr="00B2049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B20490">
        <w:rPr>
          <w:sz w:val="28"/>
          <w:szCs w:val="28"/>
          <w:shd w:val="clear" w:color="auto" w:fill="FFFFFF"/>
        </w:rPr>
        <w:t>)</w:t>
      </w:r>
      <w:r w:rsidRPr="00B20490">
        <w:rPr>
          <w:sz w:val="28"/>
          <w:szCs w:val="28"/>
        </w:rPr>
        <w:t>»,</w:t>
      </w:r>
      <w:r w:rsidRPr="00B20490">
        <w:rPr>
          <w:color w:val="000000"/>
          <w:sz w:val="28"/>
          <w:szCs w:val="28"/>
        </w:rPr>
        <w:t xml:space="preserve"> </w:t>
      </w:r>
      <w:r w:rsidRPr="00B20490">
        <w:rPr>
          <w:sz w:val="28"/>
          <w:szCs w:val="28"/>
        </w:rPr>
        <w:t>руководствуясь Уставом городского округа Кинель Самарской области,</w:t>
      </w:r>
    </w:p>
    <w:p w:rsidR="00F55C8E" w:rsidRPr="005B48AD" w:rsidRDefault="00F55C8E" w:rsidP="00F55C8E">
      <w:pPr>
        <w:spacing w:before="120" w:after="120" w:line="336" w:lineRule="auto"/>
        <w:jc w:val="center"/>
        <w:rPr>
          <w:szCs w:val="28"/>
        </w:rPr>
      </w:pPr>
      <w:r w:rsidRPr="005B48AD">
        <w:rPr>
          <w:szCs w:val="28"/>
        </w:rPr>
        <w:t>ПОСТАНОВЛЯЮ:</w:t>
      </w:r>
    </w:p>
    <w:p w:rsidR="00F55C8E" w:rsidRDefault="00F55C8E" w:rsidP="00F55C8E">
      <w:pPr>
        <w:numPr>
          <w:ilvl w:val="0"/>
          <w:numId w:val="2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 w:rsidRPr="005B48AD">
        <w:rPr>
          <w:szCs w:val="28"/>
        </w:rPr>
        <w:t xml:space="preserve">Внести в муниципальную программу городского округа Кинель Самарской области «Профилактика правонарушений на территории </w:t>
      </w:r>
      <w:r w:rsidRPr="005B48AD">
        <w:rPr>
          <w:szCs w:val="28"/>
        </w:rPr>
        <w:lastRenderedPageBreak/>
        <w:t>городского округа Кинел</w:t>
      </w:r>
      <w:r>
        <w:rPr>
          <w:szCs w:val="28"/>
        </w:rPr>
        <w:t>ь Самарской области на 2019-2025</w:t>
      </w:r>
      <w:r w:rsidRPr="005B48AD">
        <w:rPr>
          <w:szCs w:val="28"/>
        </w:rPr>
        <w:t xml:space="preserve"> годы», утвержденную постановлением</w:t>
      </w:r>
      <w:r w:rsidRPr="00C9151E">
        <w:rPr>
          <w:szCs w:val="28"/>
        </w:rPr>
        <w:t xml:space="preserve"> администрации городского округа Кинель Самарской области от </w:t>
      </w:r>
      <w:r w:rsidRPr="00A45F0F">
        <w:rPr>
          <w:szCs w:val="28"/>
        </w:rPr>
        <w:t>19</w:t>
      </w:r>
      <w:r>
        <w:rPr>
          <w:szCs w:val="28"/>
        </w:rPr>
        <w:t xml:space="preserve"> декабря </w:t>
      </w:r>
      <w:r w:rsidRPr="00C9151E">
        <w:rPr>
          <w:szCs w:val="28"/>
        </w:rPr>
        <w:t>201</w:t>
      </w:r>
      <w:r>
        <w:rPr>
          <w:szCs w:val="28"/>
        </w:rPr>
        <w:t xml:space="preserve">8 года </w:t>
      </w:r>
      <w:r w:rsidRPr="00C9151E">
        <w:rPr>
          <w:szCs w:val="28"/>
        </w:rPr>
        <w:t>№ </w:t>
      </w:r>
      <w:r>
        <w:rPr>
          <w:szCs w:val="28"/>
        </w:rPr>
        <w:t xml:space="preserve">3467 (далее – Муниципальная программа) </w:t>
      </w:r>
      <w:r w:rsidRPr="00C9151E">
        <w:rPr>
          <w:szCs w:val="28"/>
        </w:rPr>
        <w:t>(</w:t>
      </w:r>
      <w:r>
        <w:rPr>
          <w:szCs w:val="28"/>
        </w:rPr>
        <w:t>в редакции от </w:t>
      </w:r>
      <w:r>
        <w:t>11</w:t>
      </w:r>
      <w:r w:rsidRPr="00E26494">
        <w:t> </w:t>
      </w:r>
      <w:r>
        <w:t>февраля</w:t>
      </w:r>
      <w:r w:rsidRPr="00E26494">
        <w:t> 20</w:t>
      </w:r>
      <w:r>
        <w:t>25 года</w:t>
      </w:r>
      <w:r w:rsidRPr="00CE1F68">
        <w:rPr>
          <w:szCs w:val="28"/>
        </w:rPr>
        <w:t>)</w:t>
      </w:r>
      <w:r w:rsidRPr="00E26494">
        <w:rPr>
          <w:szCs w:val="28"/>
        </w:rPr>
        <w:t>,</w:t>
      </w:r>
      <w:r w:rsidRPr="006E2756">
        <w:rPr>
          <w:szCs w:val="28"/>
        </w:rPr>
        <w:t xml:space="preserve"> следующие изменения:</w:t>
      </w:r>
    </w:p>
    <w:p w:rsidR="00F55C8E" w:rsidRDefault="00F55C8E" w:rsidP="00F55C8E">
      <w:pPr>
        <w:numPr>
          <w:ilvl w:val="1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 строке «Объемы и источники финансирования мероприятий, определенных муниципальной программой» паспорта Муниципальной программы цифру «27275,447» заменить цифрой «27584,547», цифру «3912,7» заменить цифрой «4221,8».</w:t>
      </w:r>
    </w:p>
    <w:p w:rsidR="00F55C8E" w:rsidRDefault="00F55C8E" w:rsidP="00F55C8E">
      <w:pPr>
        <w:numPr>
          <w:ilvl w:val="1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разделе 5 текста Муниципальной программы:</w:t>
      </w:r>
    </w:p>
    <w:p w:rsidR="00F55C8E" w:rsidRDefault="00F55C8E" w:rsidP="00F55C8E">
      <w:pPr>
        <w:numPr>
          <w:ilvl w:val="2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пункте 5.1. цифру 25501,347» заменить цифрой «25510,447», цифру «3534,0» заменить цифрой «3843,1».</w:t>
      </w:r>
    </w:p>
    <w:p w:rsidR="00F55C8E" w:rsidRDefault="00F55C8E" w:rsidP="00F55C8E">
      <w:pPr>
        <w:numPr>
          <w:ilvl w:val="2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таблице 2 пункта </w:t>
      </w:r>
      <w:r w:rsidRPr="00B466DB">
        <w:rPr>
          <w:szCs w:val="28"/>
        </w:rPr>
        <w:t>5.3.</w:t>
      </w:r>
      <w:r>
        <w:rPr>
          <w:szCs w:val="28"/>
        </w:rPr>
        <w:t>:</w:t>
      </w:r>
    </w:p>
    <w:p w:rsidR="00F55C8E" w:rsidRDefault="00F55C8E" w:rsidP="00F55C8E">
      <w:pPr>
        <w:numPr>
          <w:ilvl w:val="3"/>
          <w:numId w:val="1"/>
        </w:numPr>
        <w:tabs>
          <w:tab w:val="left" w:pos="1276"/>
          <w:tab w:val="left" w:pos="1701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столбце «Всего» цифру «</w:t>
      </w:r>
      <w:r w:rsidRPr="00614C54">
        <w:t>24710,347</w:t>
      </w:r>
      <w:r>
        <w:t xml:space="preserve">» замесить </w:t>
      </w:r>
      <w:r>
        <w:rPr>
          <w:szCs w:val="28"/>
        </w:rPr>
        <w:t>цифрой</w:t>
      </w:r>
      <w:r>
        <w:t xml:space="preserve"> «25019,447», </w:t>
      </w:r>
      <w:r>
        <w:rPr>
          <w:szCs w:val="28"/>
        </w:rPr>
        <w:t>цифру «27275,447» заменить цифрой «27584,547»</w:t>
      </w:r>
      <w:r w:rsidRPr="00FB40B5">
        <w:rPr>
          <w:szCs w:val="28"/>
        </w:rPr>
        <w:t>.</w:t>
      </w:r>
    </w:p>
    <w:p w:rsidR="00F55C8E" w:rsidRPr="00B466DB" w:rsidRDefault="00F55C8E" w:rsidP="00F55C8E">
      <w:pPr>
        <w:numPr>
          <w:ilvl w:val="3"/>
          <w:numId w:val="1"/>
        </w:numPr>
        <w:tabs>
          <w:tab w:val="left" w:pos="1276"/>
          <w:tab w:val="left" w:pos="1701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столбце «2025 год» цифру «</w:t>
      </w:r>
      <w:r w:rsidRPr="00614C54">
        <w:rPr>
          <w:szCs w:val="28"/>
        </w:rPr>
        <w:t>3500,0</w:t>
      </w:r>
      <w:r>
        <w:rPr>
          <w:szCs w:val="28"/>
        </w:rPr>
        <w:t>» заменить цифрой «3809,1», цифру «3912,7» заменить цифрой «4221,8»</w:t>
      </w:r>
      <w:r w:rsidRPr="00FB40B5">
        <w:rPr>
          <w:szCs w:val="28"/>
        </w:rPr>
        <w:t>.</w:t>
      </w:r>
    </w:p>
    <w:p w:rsidR="00F55C8E" w:rsidRDefault="00F55C8E" w:rsidP="00F55C8E">
      <w:pPr>
        <w:numPr>
          <w:ilvl w:val="1"/>
          <w:numId w:val="1"/>
        </w:numPr>
        <w:tabs>
          <w:tab w:val="left" w:pos="1276"/>
        </w:tabs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>В таблице Приложения 2 Муниципальной программы:</w:t>
      </w:r>
    </w:p>
    <w:p w:rsidR="00F55C8E" w:rsidRDefault="00F55C8E" w:rsidP="00F55C8E">
      <w:pPr>
        <w:numPr>
          <w:ilvl w:val="2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столбце «Всего» цифру «</w:t>
      </w:r>
      <w:r w:rsidRPr="001C047B">
        <w:rPr>
          <w:szCs w:val="28"/>
        </w:rPr>
        <w:t>8743,447</w:t>
      </w:r>
      <w:r>
        <w:t xml:space="preserve">» замесить </w:t>
      </w:r>
      <w:r>
        <w:rPr>
          <w:szCs w:val="28"/>
        </w:rPr>
        <w:t>цифрой</w:t>
      </w:r>
      <w:r>
        <w:t xml:space="preserve"> «9052,547», </w:t>
      </w:r>
      <w:r>
        <w:rPr>
          <w:szCs w:val="28"/>
        </w:rPr>
        <w:t>цифру «</w:t>
      </w:r>
      <w:r w:rsidRPr="00B60547">
        <w:rPr>
          <w:szCs w:val="28"/>
        </w:rPr>
        <w:t>6669,347</w:t>
      </w:r>
      <w:r>
        <w:rPr>
          <w:szCs w:val="28"/>
        </w:rPr>
        <w:t>» заменить цифрой «6978,447», цифру «27275,447» заменить цифрой «27584,547».</w:t>
      </w:r>
    </w:p>
    <w:p w:rsidR="00F55C8E" w:rsidRPr="00B60547" w:rsidRDefault="00F55C8E" w:rsidP="00F55C8E">
      <w:pPr>
        <w:numPr>
          <w:ilvl w:val="2"/>
          <w:numId w:val="1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>В столбце «2025» цифру «</w:t>
      </w:r>
      <w:r w:rsidRPr="00B60547">
        <w:rPr>
          <w:szCs w:val="28"/>
        </w:rPr>
        <w:t>1278,7</w:t>
      </w:r>
      <w:r>
        <w:t xml:space="preserve">» замесить </w:t>
      </w:r>
      <w:r>
        <w:rPr>
          <w:szCs w:val="28"/>
        </w:rPr>
        <w:t>цифрой</w:t>
      </w:r>
      <w:r>
        <w:t xml:space="preserve"> «1587,8», </w:t>
      </w:r>
      <w:r>
        <w:rPr>
          <w:szCs w:val="28"/>
        </w:rPr>
        <w:t>цифру «900,0» заменить цифрой «1209,1», цифру «</w:t>
      </w:r>
      <w:r w:rsidRPr="00B60547">
        <w:rPr>
          <w:szCs w:val="28"/>
        </w:rPr>
        <w:t>3912,7</w:t>
      </w:r>
      <w:r>
        <w:rPr>
          <w:szCs w:val="28"/>
        </w:rPr>
        <w:t>» заменить цифрой «4221,8».</w:t>
      </w:r>
    </w:p>
    <w:p w:rsidR="00F55C8E" w:rsidRDefault="00F55C8E" w:rsidP="00F55C8E">
      <w:pPr>
        <w:numPr>
          <w:ilvl w:val="0"/>
          <w:numId w:val="2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постановление.</w:t>
      </w:r>
    </w:p>
    <w:p w:rsidR="00F55C8E" w:rsidRDefault="00F55C8E" w:rsidP="00F55C8E">
      <w:pPr>
        <w:numPr>
          <w:ilvl w:val="0"/>
          <w:numId w:val="2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F55C8E" w:rsidRDefault="00F55C8E" w:rsidP="00F55C8E">
      <w:pPr>
        <w:numPr>
          <w:ilvl w:val="0"/>
          <w:numId w:val="2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городского округа Кинель Самарской области.</w:t>
      </w:r>
    </w:p>
    <w:p w:rsidR="00F55C8E" w:rsidRDefault="00F55C8E" w:rsidP="00F55C8E">
      <w:pPr>
        <w:jc w:val="both"/>
        <w:rPr>
          <w:szCs w:val="28"/>
        </w:rPr>
      </w:pPr>
    </w:p>
    <w:p w:rsidR="00F55C8E" w:rsidRDefault="00F55C8E" w:rsidP="00F55C8E">
      <w:pPr>
        <w:jc w:val="both"/>
        <w:rPr>
          <w:szCs w:val="28"/>
        </w:rPr>
      </w:pPr>
    </w:p>
    <w:p w:rsidR="00F55C8E" w:rsidRPr="00F75576" w:rsidRDefault="00F55C8E" w:rsidP="00F55C8E">
      <w:pPr>
        <w:jc w:val="both"/>
        <w:rPr>
          <w:szCs w:val="28"/>
        </w:rPr>
      </w:pPr>
      <w:r w:rsidRPr="00F75576">
        <w:rPr>
          <w:szCs w:val="28"/>
        </w:rPr>
        <w:t>Глава городского округа</w:t>
      </w:r>
      <w:r>
        <w:rPr>
          <w:szCs w:val="28"/>
        </w:rPr>
        <w:t xml:space="preserve">                                                        В.С.Тимошенко</w:t>
      </w:r>
    </w:p>
    <w:p w:rsidR="00F55C8E" w:rsidRPr="00F75576" w:rsidRDefault="00F55C8E" w:rsidP="00F55C8E">
      <w:pPr>
        <w:jc w:val="both"/>
        <w:rPr>
          <w:szCs w:val="28"/>
        </w:rPr>
      </w:pPr>
    </w:p>
    <w:p w:rsidR="00F55C8E" w:rsidRDefault="00F55C8E" w:rsidP="00F55C8E">
      <w:pPr>
        <w:jc w:val="both"/>
        <w:rPr>
          <w:szCs w:val="28"/>
        </w:rPr>
      </w:pPr>
    </w:p>
    <w:p w:rsidR="000004FC" w:rsidRDefault="00F55C8E" w:rsidP="00F55C8E">
      <w:pPr>
        <w:jc w:val="both"/>
      </w:pPr>
      <w:r>
        <w:rPr>
          <w:szCs w:val="28"/>
        </w:rPr>
        <w:t>Савичева 63561</w:t>
      </w:r>
      <w:bookmarkStart w:id="0" w:name="_GoBack"/>
      <w:bookmarkEnd w:id="0"/>
    </w:p>
    <w:sectPr w:rsidR="0000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195B"/>
    <w:multiLevelType w:val="multilevel"/>
    <w:tmpl w:val="E3DE42B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1">
    <w:nsid w:val="766963B1"/>
    <w:multiLevelType w:val="multilevel"/>
    <w:tmpl w:val="FF2A9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AB"/>
    <w:rsid w:val="000004FC"/>
    <w:rsid w:val="00C234AB"/>
    <w:rsid w:val="00F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5C8E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C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link w:val="3"/>
    <w:uiPriority w:val="99"/>
    <w:locked/>
    <w:rsid w:val="00F55C8E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F55C8E"/>
    <w:pPr>
      <w:shd w:val="clear" w:color="auto" w:fill="FFFFFF"/>
      <w:spacing w:before="300" w:after="120" w:line="240" w:lineRule="atLeast"/>
      <w:jc w:val="both"/>
    </w:pPr>
    <w:rPr>
      <w:rFonts w:eastAsiaTheme="minorHAnsi"/>
      <w:spacing w:val="3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55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5C8E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C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link w:val="3"/>
    <w:uiPriority w:val="99"/>
    <w:locked/>
    <w:rsid w:val="00F55C8E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F55C8E"/>
    <w:pPr>
      <w:shd w:val="clear" w:color="auto" w:fill="FFFFFF"/>
      <w:spacing w:before="300" w:after="120" w:line="240" w:lineRule="atLeast"/>
      <w:jc w:val="both"/>
    </w:pPr>
    <w:rPr>
      <w:rFonts w:eastAsiaTheme="minorHAnsi"/>
      <w:spacing w:val="3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55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2025-12-25T09:48:00Z</dcterms:created>
  <dcterms:modified xsi:type="dcterms:W3CDTF">2025-12-25T09:49:00Z</dcterms:modified>
</cp:coreProperties>
</file>